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A1BBC" w14:textId="7738DA17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我們在馬可福音八章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22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26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節讀到一段獨特的記載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記述耶穌「漸進」地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醫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好一個瞎子。這神蹟發生於村外（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23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節上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故此主要的景物有樹木和人。耶穌先在瞎子的眼睛上吐唾沫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使他能看見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但仍看得不夠清楚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(23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節中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隨後又在他眼晴上按手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才使他完全復原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能夠清楚看見一切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(25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。就在兩下之間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耶穌問瞎子：「你看見甚麼了？」那人抬頭一看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說：「我看見人了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看見他們好像樹木一般行走。」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(23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節下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-24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意思是：我看見了（看到人在行走）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但我看不清楚（人看上去像樹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！</w:t>
      </w:r>
    </w:p>
    <w:p w14:paraId="7CD704DD" w14:textId="4CAD7AEE" w:rsidR="003E5E7A" w:rsidRPr="003E5E7A" w:rsidRDefault="006812C6" w:rsidP="003E5E7A"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馬可把生動的對白鎘寫在只有五節的經文中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成為段落的特出點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令其餘的敘斌分成兩個階段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便更顯出瞎子是逐漸地復原的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這當中有甚麼意思呢？如果以為耶穌的神蹟純粹是為彰顯能力而行，我們便會困惑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為甚麼不是一下子見效的？但讀經久了便知道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耶穌行事總是出人意表的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而聖經作者亦往往在記述中帶出一些微妙的關注。我們若注意馬可在這個段落的著墨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便會發現他所著重的不是神蹟大能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而是耶穌對瞎子的慈愛與體貼：祂拉著瞎子的手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領他到安靜的地方，按手在他身上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給他吐睡沫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跟他說話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按手摸他的眼晴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(23-25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。我們相信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在這看來是漸進的過程中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耶穌讓瞎子經歴到祂親切的引導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這才是馬可的敘跡重點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</w:p>
    <w:p w14:paraId="2563E4CF" w14:textId="13002B3B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無獨有偶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另一段馬可單獨記載的經文也有共同的重點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在馬可福音七章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31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37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一個耳襲舌結的人來求醫治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而耶穌也是這樣親切地給他幫助：領他離開眾人走到一旁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用指頭探他的耳朵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用唾沫抹他的舌頭，為他仰天歎息，然後使他耳朵聽見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舌結解開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(33-35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這段所強調的也是耶穌的慈愛與關切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以致連用字都與八章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22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26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節相似！我們只要把兩者放在六至八章的大段落宏觀地看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便可以見到兩段遙相呼應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一先一後地述説出耶穌對弱者的憐憫與拯救。我們也會想起先知以賽亞的話：「那時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瞎子的眼必睜開：聾子的耳必開通…啞吧的舌頭必能歌唱…」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賽州五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5-6)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。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馬可的鋪排似乎要者領悟到：耶穌是舊約先知所寫的那一位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即耶和華在末日賜給百姓的救贖主。我們看得見這個意思嗎？</w:t>
      </w:r>
    </w:p>
    <w:p w14:paraId="288EDB48" w14:textId="6B919A9A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「你看見甚麼了？」耶穌這話可說是一語雙關！在八章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22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26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節的小段中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這話是耶穌對瞎子的諄諄引導。但放在六至八章的大段落中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這話有弦外之音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反映出門徒的盲目和耶穌一直以來對他們的諄諄善誘。按馬可敘逃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門徒跟從耶穌已有一段日子，「看撾」衪行神蹟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又「聽過」衪的教導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然而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他們還未能看出祂真正的身分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反而多番誤解祂的話。馬可在六至八章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-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再述及門徒的「不明白」（六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52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七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18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八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21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）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並記下了耶穌的責備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脫：「…你們有眼晴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看不見嗎？有耳朵，聽不見嗎？也不記得嗎？」（八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17-18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）。門徒得到了耶穌的啟示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卻活像瞎子、聾子，愚頑而不能明白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亟需耶穌的引導和醫治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這成為六至八章的一條主線。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</w:t>
      </w:r>
    </w:p>
    <w:p w14:paraId="0B7F10F0" w14:textId="5C4C6E1D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來到八章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22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26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瞎子得醫治這段就好比轉振點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標誌著門徒在跟從主的路上跨進啟蒙的階段。在下面八章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27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30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節一段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耶穌把門徒「帶到」凱撒利亞肼立比，就如早前祂把瞎子帶到村外去一般！在那裡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彼得終於「看到」耶穌是基督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(29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這好比瞎子看到了人！然而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他仍然是「看不清楚」基督將要受苦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(31-33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節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因為在他看來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上帝的意思是彷佛「人如樹木行走」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模糊不清的。在往後的日子中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門徒還是需要耶穌的教導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寬恕、醫治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才終於明白一切的啟示。</w:t>
      </w:r>
    </w:p>
    <w:p w14:paraId="24B98F15" w14:textId="61013FD9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lastRenderedPageBreak/>
        <w:t>在馬可的編述中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瞎子得醫治原是門徒得傲示的過程縮影：這兩者都是「漸進」的。由此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「人如樹木行走」也是屬靈視覺的寫照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反映我們在認識主的路上是何等的蒙味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多麼的需要主逐步引領，以慈愛的手撫摸我們心靈的眼晴，使我們更清楚知道祂的心意！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0</w:t>
      </w:r>
    </w:p>
    <w:p w14:paraId="7DB2EA2F" w14:textId="4CDB2F46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不少學者都視為這雨段經文構成一款跡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甚至與先後雨次分餅事件（六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35-44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八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110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：後者只見於馬可福音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)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形成平行的桔稀：較群細的時論可參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W.L.Lane,The Gospel According to Mar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水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NICNT(Grand Rapids:Eerdmans,1974),286-87</w:t>
      </w:r>
    </w:p>
    <w:p w14:paraId="53CF158E" w14:textId="1F079BAD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2.R.T.France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指出：「註程者一般都認為馬可的敘越有此象徽的意思」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(The Gospel of Mark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水</w:t>
      </w:r>
    </w:p>
    <w:p w14:paraId="4A7AD036" w14:textId="3229B435" w:rsidR="003E5E7A" w:rsidRPr="003E5E7A" w:rsidRDefault="006812C6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NIGTC[Grand Rapids:Eerdmans,2002j.322)</w:t>
      </w:r>
      <w:r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，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另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e</w:t>
      </w:r>
      <w:r w:rsidRPr="003E5E7A">
        <w:rPr>
          <w:rFonts w:ascii="細明體" w:eastAsia="細明體" w:hAnsi="細明體" w:cs="細明體" w:hint="eastAsia"/>
          <w:spacing w:val="20"/>
          <w:sz w:val="20"/>
          <w:szCs w:val="20"/>
          <w:lang w:eastAsia="zh-TW"/>
        </w:rPr>
        <w:t>可四</w:t>
      </w:r>
      <w:r w:rsidRPr="003E5E7A">
        <w:rPr>
          <w:rFonts w:ascii="細明體" w:eastAsia="細明體" w:hAnsi="細明體" w:cs="細明體"/>
          <w:spacing w:val="20"/>
          <w:sz w:val="20"/>
          <w:szCs w:val="20"/>
          <w:lang w:eastAsia="zh-TW"/>
        </w:rPr>
        <w:t>12s</w:t>
      </w:r>
    </w:p>
    <w:p w14:paraId="64928979" w14:textId="77777777" w:rsidR="003E5E7A" w:rsidRPr="003E5E7A" w:rsidRDefault="003E5E7A" w:rsidP="003E5E7A">
      <w:pPr>
        <w:rPr>
          <w:rFonts w:ascii="細明體" w:eastAsia="細明體" w:hAnsi="細明體" w:cs="細明體"/>
          <w:spacing w:val="20"/>
          <w:sz w:val="20"/>
          <w:szCs w:val="20"/>
        </w:rPr>
      </w:pPr>
    </w:p>
    <w:sectPr w:rsidR="003E5E7A" w:rsidRPr="003E5E7A">
      <w:type w:val="continuous"/>
      <w:pgSz w:w="11909" w:h="16834"/>
      <w:pgMar w:top="2896" w:right="2339" w:bottom="2908" w:left="2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26C6C" w14:textId="77777777" w:rsidR="00560EBB" w:rsidRDefault="00560EBB">
      <w:r>
        <w:separator/>
      </w:r>
    </w:p>
  </w:endnote>
  <w:endnote w:type="continuationSeparator" w:id="0">
    <w:p w14:paraId="20B1B486" w14:textId="77777777" w:rsidR="00560EBB" w:rsidRDefault="0056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7C77" w14:textId="77777777" w:rsidR="00560EBB" w:rsidRDefault="00560EBB">
      <w:r>
        <w:separator/>
      </w:r>
    </w:p>
  </w:footnote>
  <w:footnote w:type="continuationSeparator" w:id="0">
    <w:p w14:paraId="20144BC9" w14:textId="77777777" w:rsidR="00560EBB" w:rsidRDefault="0056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00C0C"/>
    <w:multiLevelType w:val="multilevel"/>
    <w:tmpl w:val="947012F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066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48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6F"/>
    <w:rsid w:val="00350190"/>
    <w:rsid w:val="003E5E7A"/>
    <w:rsid w:val="00560EBB"/>
    <w:rsid w:val="006812C6"/>
    <w:rsid w:val="009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EA4B"/>
  <w15:docId w15:val="{0B59955D-C5F4-4485-B5FF-B9BB6B08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腳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a6">
    <w:name w:val="腳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ingLiU">
    <w:name w:val="腳註 + MingLiU"/>
    <w:aliases w:val="6.5 pt,間距 1 pt"/>
    <w:basedOn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character" w:customStyle="1" w:styleId="65pt">
    <w:name w:val="腳註 + 6.5 pt"/>
    <w:aliases w:val="間距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MingLiU0">
    <w:name w:val="腳註 + MingLiU"/>
    <w:aliases w:val="6.5 pt,間距 1 pt"/>
    <w:basedOn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character" w:customStyle="1" w:styleId="a7">
    <w:name w:val="腳註 + 斜體"/>
    <w:aliases w:val="間距 -1 pt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ingLiU1">
    <w:name w:val="腳註 + MingLiU"/>
    <w:aliases w:val="4 pt,間距 0 pt"/>
    <w:basedOn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">
    <w:name w:val="腳註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21">
    <w:name w:val="腳註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2pt">
    <w:name w:val="腳註 (2) + 12 pt"/>
    <w:aliases w:val="間距 0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2MingLiU">
    <w:name w:val="腳註 (2) + MingLiU"/>
    <w:aliases w:val="7.5 pt,間距 0 pt"/>
    <w:basedOn w:val="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12pt0">
    <w:name w:val="腳註 (2) + 12 pt"/>
    <w:aliases w:val="間距 0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MingLiU0">
    <w:name w:val="腳註 (2) + MingLiU"/>
    <w:aliases w:val="7.5 pt,間距 0 pt"/>
    <w:basedOn w:val="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2">
    <w:name w:val="腳註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">
    <w:name w:val="腳註 (2) + 斜體"/>
    <w:aliases w:val="間距 -1 pt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MingLiU1">
    <w:name w:val="腳註 (2) + MingLiU"/>
    <w:aliases w:val="5.5 pt,間距 0 pt"/>
    <w:basedOn w:val="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8">
    <w:name w:val="內文文字_"/>
    <w:basedOn w:val="a0"/>
    <w:link w:val="a9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MicrosoftSansSerif">
    <w:name w:val="內文文字 + Microsoft Sans Serif"/>
    <w:aliases w:val="10.5 pt,間距 0 pt"/>
    <w:basedOn w:val="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5pt">
    <w:name w:val="內文文字 + 9.5 pt"/>
    <w:aliases w:val="間距 1 pt"/>
    <w:basedOn w:val="a8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aa">
    <w:name w:val="內文文字"/>
    <w:basedOn w:val="a8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MicrosoftSansSerif0">
    <w:name w:val="內文文字 + Microsoft Sans Serif"/>
    <w:aliases w:val="10.5 pt,間距 0 pt"/>
    <w:basedOn w:val="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icrosoftSansSerif1">
    <w:name w:val="內文文字 + Microsoft Sans Serif"/>
    <w:aliases w:val="10.5 pt,間距 0 pt"/>
    <w:basedOn w:val="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b">
    <w:name w:val="內文文字"/>
    <w:basedOn w:val="a8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zh-CN" w:eastAsia="zh-CN" w:bidi="zh-CN"/>
    </w:rPr>
  </w:style>
  <w:style w:type="paragraph" w:customStyle="1" w:styleId="a5">
    <w:name w:val="腳註"/>
    <w:basedOn w:val="a"/>
    <w:link w:val="a4"/>
    <w:pPr>
      <w:shd w:val="clear" w:color="auto" w:fill="FFFFFF"/>
      <w:spacing w:line="258" w:lineRule="exact"/>
      <w:ind w:hanging="300"/>
      <w:jc w:val="both"/>
    </w:pPr>
    <w:rPr>
      <w:rFonts w:ascii="Microsoft Sans Serif" w:eastAsia="Microsoft Sans Serif" w:hAnsi="Microsoft Sans Serif" w:cs="Microsoft Sans Serif"/>
      <w:spacing w:val="-10"/>
      <w:sz w:val="17"/>
      <w:szCs w:val="17"/>
      <w:lang w:val="en-US" w:eastAsia="en-US" w:bidi="en-US"/>
    </w:rPr>
  </w:style>
  <w:style w:type="paragraph" w:customStyle="1" w:styleId="20">
    <w:name w:val="腳註 (2)"/>
    <w:basedOn w:val="a"/>
    <w:link w:val="2"/>
    <w:pPr>
      <w:shd w:val="clear" w:color="auto" w:fill="FFFFFF"/>
      <w:spacing w:line="258" w:lineRule="exact"/>
      <w:ind w:hanging="300"/>
    </w:pPr>
    <w:rPr>
      <w:rFonts w:ascii="Microsoft Sans Serif" w:eastAsia="Microsoft Sans Serif" w:hAnsi="Microsoft Sans Serif" w:cs="Microsoft Sans Serif"/>
      <w:spacing w:val="-10"/>
      <w:sz w:val="17"/>
      <w:szCs w:val="17"/>
      <w:lang w:val="en-US" w:eastAsia="en-US" w:bidi="en-US"/>
    </w:rPr>
  </w:style>
  <w:style w:type="paragraph" w:customStyle="1" w:styleId="a9">
    <w:name w:val="內文文字"/>
    <w:basedOn w:val="a"/>
    <w:link w:val="a8"/>
    <w:pPr>
      <w:shd w:val="clear" w:color="auto" w:fill="FFFFFF"/>
      <w:spacing w:after="120" w:line="378" w:lineRule="exact"/>
      <w:ind w:firstLine="400"/>
      <w:jc w:val="distribute"/>
    </w:pPr>
    <w:rPr>
      <w:rFonts w:ascii="細明體" w:eastAsia="細明體" w:hAnsi="細明體" w:cs="細明體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1474</Characters>
  <Application>Microsoft Office Word</Application>
  <DocSecurity>0</DocSecurity>
  <Lines>12</Lines>
  <Paragraphs>3</Paragraphs>
  <ScaleCrop>false</ScaleCrop>
  <Company> 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THS THS</cp:lastModifiedBy>
  <cp:revision>1</cp:revision>
  <dcterms:created xsi:type="dcterms:W3CDTF">2024-06-25T03:22:00Z</dcterms:created>
  <dcterms:modified xsi:type="dcterms:W3CDTF">2024-06-25T03:35:00Z</dcterms:modified>
</cp:coreProperties>
</file>