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569" w:rsidRDefault="00C90569" w:rsidP="00C90569">
      <w:pPr>
        <w:rPr>
          <w:rFonts w:hint="eastAsia"/>
        </w:rPr>
      </w:pPr>
      <w:r>
        <w:rPr>
          <w:rFonts w:hint="eastAsia"/>
        </w:rPr>
        <w:t>【公義（</w:t>
      </w:r>
      <w:r>
        <w:rPr>
          <w:rFonts w:hint="eastAsia"/>
        </w:rPr>
        <w:t>Justice</w:t>
      </w:r>
      <w:r>
        <w:rPr>
          <w:rFonts w:hint="eastAsia"/>
        </w:rPr>
        <w:t>）】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教會了解的公義有兩個來源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聖經與哲學。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舊約認為公義是神的相對屬性，因此亦是要求於以色列人的。用來描述神的希伯來詞語，包括</w:t>
      </w:r>
      <w:r>
        <w:rPr>
          <w:rFonts w:hint="eastAsia"/>
        </w:rPr>
        <w:t>s]</w:t>
      </w:r>
      <w:proofErr w:type="spellStart"/>
      <w:r>
        <w:rPr>
          <w:rFonts w:hint="eastAsia"/>
        </w:rPr>
        <w:t>e^da</w:t>
      </w:r>
      <w:proofErr w:type="spellEnd"/>
      <w:r>
        <w:rPr>
          <w:rFonts w:hint="eastAsia"/>
        </w:rPr>
        <w:t>{</w:t>
      </w:r>
      <w:proofErr w:type="spellStart"/>
      <w:r>
        <w:rPr>
          <w:rFonts w:hint="eastAsia"/>
        </w:rPr>
        <w:t>qa</w:t>
      </w:r>
      <w:proofErr w:type="spellEnd"/>
      <w:r>
        <w:rPr>
          <w:rFonts w:hint="eastAsia"/>
        </w:rPr>
        <w:t>^</w:t>
      </w:r>
      <w:r>
        <w:rPr>
          <w:rFonts w:hint="eastAsia"/>
        </w:rPr>
        <w:t>、</w:t>
      </w:r>
      <w:r>
        <w:rPr>
          <w:rFonts w:hint="eastAsia"/>
        </w:rPr>
        <w:t>s]</w:t>
      </w:r>
      <w:proofErr w:type="spellStart"/>
      <w:r>
        <w:rPr>
          <w:rFonts w:hint="eastAsia"/>
        </w:rPr>
        <w:t>edeq</w:t>
      </w:r>
      <w:proofErr w:type="spellEnd"/>
      <w:r>
        <w:rPr>
          <w:rFonts w:hint="eastAsia"/>
        </w:rPr>
        <w:t>及希臘文之</w:t>
      </w:r>
      <w:proofErr w:type="spellStart"/>
      <w:r>
        <w:rPr>
          <w:rFonts w:hint="eastAsia"/>
        </w:rPr>
        <w:t>dikaiosyne</w:t>
      </w:r>
      <w:proofErr w:type="spellEnd"/>
      <w:r>
        <w:rPr>
          <w:rFonts w:hint="eastAsia"/>
        </w:rPr>
        <w:t>{</w:t>
      </w:r>
      <w:r>
        <w:rPr>
          <w:rFonts w:hint="eastAsia"/>
        </w:rPr>
        <w:t>；最常用之</w:t>
      </w:r>
      <w:proofErr w:type="gramStart"/>
      <w:r>
        <w:rPr>
          <w:rFonts w:hint="eastAsia"/>
        </w:rPr>
        <w:t>中文譯法為</w:t>
      </w:r>
      <w:proofErr w:type="gramEnd"/>
      <w:r>
        <w:rPr>
          <w:rFonts w:hint="eastAsia"/>
        </w:rPr>
        <w:t>「公義」。用在人身上的，則是指正當的法則、行為，或人要得他應當得的，無論是好是壞。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從神的角度而言，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不能忍受不公義的行為。為此，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訂下公平的法則要人遵守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違反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公義</w:t>
      </w:r>
      <w:proofErr w:type="gramStart"/>
      <w:r>
        <w:rPr>
          <w:rFonts w:hint="eastAsia"/>
        </w:rPr>
        <w:t>之律者</w:t>
      </w:r>
      <w:proofErr w:type="gramEnd"/>
      <w:r>
        <w:rPr>
          <w:rFonts w:hint="eastAsia"/>
        </w:rPr>
        <w:t>，就是違反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聖潔的要求；遵守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公義</w:t>
      </w:r>
      <w:proofErr w:type="gramStart"/>
      <w:r>
        <w:rPr>
          <w:rFonts w:hint="eastAsia"/>
        </w:rPr>
        <w:t>之律者</w:t>
      </w:r>
      <w:proofErr w:type="gramEnd"/>
      <w:r>
        <w:rPr>
          <w:rFonts w:hint="eastAsia"/>
        </w:rPr>
        <w:t>，就是尊重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的聖潔權柄。為此，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定下順者蒙福，逆</w:t>
      </w:r>
      <w:proofErr w:type="gramStart"/>
      <w:r>
        <w:rPr>
          <w:rFonts w:hint="eastAsia"/>
        </w:rPr>
        <w:t>者受禍</w:t>
      </w:r>
      <w:proofErr w:type="gramEnd"/>
      <w:r>
        <w:rPr>
          <w:rFonts w:hint="eastAsia"/>
        </w:rPr>
        <w:t>；人亦要本於相同的原則制定民事法律。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西方教會所了解的公義，則是本於希臘哲學（特別是亞里斯多德，</w:t>
      </w:r>
      <w:r>
        <w:rPr>
          <w:rFonts w:hint="eastAsia"/>
        </w:rPr>
        <w:t>Aristotle</w:t>
      </w:r>
      <w:r>
        <w:rPr>
          <w:rFonts w:hint="eastAsia"/>
        </w:rPr>
        <w:t>），藉著阿奎那（</w:t>
      </w:r>
      <w:r>
        <w:rPr>
          <w:rFonts w:hint="eastAsia"/>
        </w:rPr>
        <w:t>Thomas Aquinas</w:t>
      </w:r>
      <w:r>
        <w:rPr>
          <w:rFonts w:hint="eastAsia"/>
        </w:rPr>
        <w:t>）把它神學化，而傳到現在，成為西方文化重要的支柱。亞里斯多德把公義分成兩種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一般的或法律上的公義，和特別的公義。一般的公義是指人與人之關係；特別的</w:t>
      </w:r>
      <w:proofErr w:type="gramStart"/>
      <w:r>
        <w:rPr>
          <w:rFonts w:hint="eastAsia"/>
        </w:rPr>
        <w:t>公義又可</w:t>
      </w:r>
      <w:proofErr w:type="gramEnd"/>
      <w:r>
        <w:rPr>
          <w:rFonts w:hint="eastAsia"/>
        </w:rPr>
        <w:t>分成「</w:t>
      </w:r>
      <w:proofErr w:type="gramStart"/>
      <w:r>
        <w:rPr>
          <w:rFonts w:hint="eastAsia"/>
        </w:rPr>
        <w:t>可換公義</w:t>
      </w:r>
      <w:proofErr w:type="gramEnd"/>
      <w:r>
        <w:rPr>
          <w:rFonts w:hint="eastAsia"/>
        </w:rPr>
        <w:t>」（</w:t>
      </w:r>
      <w:r>
        <w:rPr>
          <w:rFonts w:hint="eastAsia"/>
        </w:rPr>
        <w:t>commutative justice</w:t>
      </w:r>
      <w:r>
        <w:rPr>
          <w:rFonts w:hint="eastAsia"/>
        </w:rPr>
        <w:t>）和「分配公義」（</w:t>
      </w:r>
      <w:r>
        <w:rPr>
          <w:rFonts w:hint="eastAsia"/>
        </w:rPr>
        <w:t>distributive justice</w:t>
      </w:r>
      <w:r>
        <w:rPr>
          <w:rFonts w:hint="eastAsia"/>
        </w:rPr>
        <w:t>）。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「</w:t>
      </w:r>
      <w:proofErr w:type="gramStart"/>
      <w:r>
        <w:rPr>
          <w:rFonts w:hint="eastAsia"/>
        </w:rPr>
        <w:t>可換公義</w:t>
      </w:r>
      <w:proofErr w:type="gramEnd"/>
      <w:r>
        <w:rPr>
          <w:rFonts w:hint="eastAsia"/>
        </w:rPr>
        <w:t>」處理人與人之間交往的問題，包括自願的交易，如合約，是兩者之間同意的，也必須按合約的條款完成交易；非自願的，像搶劫，那是只有一方願意，而另一方不願意的。「</w:t>
      </w:r>
      <w:proofErr w:type="gramStart"/>
      <w:r>
        <w:rPr>
          <w:rFonts w:hint="eastAsia"/>
        </w:rPr>
        <w:t>可換公義</w:t>
      </w:r>
      <w:proofErr w:type="gramEnd"/>
      <w:r>
        <w:rPr>
          <w:rFonts w:hint="eastAsia"/>
        </w:rPr>
        <w:t>」是按法律來裁定這等行為，主要是關乎民事法律多於刑事法律。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「分配公義」則是本於群體整體的利益，而把責任與權利分配給群體每一成員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責任</w:t>
      </w:r>
      <w:proofErr w:type="gramStart"/>
      <w:r>
        <w:rPr>
          <w:rFonts w:hint="eastAsia"/>
        </w:rPr>
        <w:t>者如稅項</w:t>
      </w:r>
      <w:proofErr w:type="gramEnd"/>
      <w:r>
        <w:rPr>
          <w:rFonts w:hint="eastAsia"/>
        </w:rPr>
        <w:t>，權利者如財富。自比約十一世（</w:t>
      </w:r>
      <w:r>
        <w:rPr>
          <w:rFonts w:hint="eastAsia"/>
        </w:rPr>
        <w:t>Pius XI</w:t>
      </w:r>
      <w:r>
        <w:rPr>
          <w:rFonts w:hint="eastAsia"/>
        </w:rPr>
        <w:t>）的教</w:t>
      </w:r>
      <w:proofErr w:type="gramStart"/>
      <w:r>
        <w:rPr>
          <w:rFonts w:hint="eastAsia"/>
        </w:rPr>
        <w:t>諭</w:t>
      </w:r>
      <w:proofErr w:type="gramEnd"/>
      <w:r>
        <w:rPr>
          <w:rFonts w:hint="eastAsia"/>
        </w:rPr>
        <w:t>（</w:t>
      </w:r>
      <w:r>
        <w:rPr>
          <w:rFonts w:hint="eastAsia"/>
        </w:rPr>
        <w:t>'</w:t>
      </w:r>
      <w:proofErr w:type="spellStart"/>
      <w:r>
        <w:rPr>
          <w:rFonts w:hint="eastAsia"/>
        </w:rPr>
        <w:t>Quadragesimo</w:t>
      </w:r>
      <w:proofErr w:type="spellEnd"/>
      <w:r>
        <w:rPr>
          <w:rFonts w:hint="eastAsia"/>
        </w:rPr>
        <w:t xml:space="preserve"> Anno', 1931</w:t>
      </w:r>
      <w:r>
        <w:rPr>
          <w:rFonts w:hint="eastAsia"/>
        </w:rPr>
        <w:t>）起，「社會公義」一詞就成了西方社會一個重要價值指標；它包括群體的公共利益，共同分擔責任和享受權利，以至尊重別人的權利等。近代的社會行動家，就是本於這種思想，來為受剝削之人爭取權益。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基督教神學所討論的公義，自然地會連結聖經和哲學的亮光來尋求可落實之道，目的是締造一個公平和公義的社會。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1.</w:t>
      </w:r>
      <w:proofErr w:type="gramStart"/>
      <w:r>
        <w:rPr>
          <w:rFonts w:hint="eastAsia"/>
        </w:rPr>
        <w:t>神是公</w:t>
      </w:r>
      <w:proofErr w:type="gramEnd"/>
      <w:r>
        <w:rPr>
          <w:rFonts w:hint="eastAsia"/>
        </w:rPr>
        <w:t>義的，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這樣對人，亦要求人能以同一的原則對人，這是人能快樂地生活的基礎。神本於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與以色列民立的盟約（</w:t>
      </w:r>
      <w:r>
        <w:rPr>
          <w:rFonts w:hint="eastAsia"/>
        </w:rPr>
        <w:t>Covenant</w:t>
      </w:r>
      <w:r>
        <w:rPr>
          <w:rFonts w:hint="eastAsia"/>
        </w:rPr>
        <w:t>），而顯出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這方面的特性，以及對人的要求。以色列人在埃及為奴之時，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把以色列人釋放出來；「釋放被囚的」就成了以色列人之神學的起點，亦是彌賽亞盼望的核心，包括了政治上的釋放，和神學上</w:t>
      </w:r>
      <w:proofErr w:type="gramStart"/>
      <w:r>
        <w:rPr>
          <w:rFonts w:hint="eastAsia"/>
        </w:rPr>
        <w:t>從罪得</w:t>
      </w:r>
      <w:proofErr w:type="gramEnd"/>
      <w:r>
        <w:rPr>
          <w:rFonts w:hint="eastAsia"/>
        </w:rPr>
        <w:t>釋放在內；</w:t>
      </w:r>
      <w:proofErr w:type="gramStart"/>
      <w:r>
        <w:rPr>
          <w:rFonts w:hint="eastAsia"/>
        </w:rPr>
        <w:t>神藉此</w:t>
      </w:r>
      <w:proofErr w:type="gramEnd"/>
      <w:r>
        <w:rPr>
          <w:rFonts w:hint="eastAsia"/>
        </w:rPr>
        <w:t>顯出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是人的主。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人的行為適當與否，端視乎他能否達到與他立約之神的要求，這要求在舊約是藉著律法與先知顯明，在新約則是透過耶穌基督，</w:t>
      </w:r>
      <w:proofErr w:type="gramStart"/>
      <w:r>
        <w:rPr>
          <w:rFonts w:hint="eastAsia"/>
        </w:rPr>
        <w:t>故整本</w:t>
      </w:r>
      <w:proofErr w:type="gramEnd"/>
      <w:r>
        <w:rPr>
          <w:rFonts w:hint="eastAsia"/>
        </w:rPr>
        <w:t>新舊約聖經</w:t>
      </w:r>
      <w:proofErr w:type="gramStart"/>
      <w:r>
        <w:rPr>
          <w:rFonts w:hint="eastAsia"/>
        </w:rPr>
        <w:t>便滿了基於</w:t>
      </w:r>
      <w:proofErr w:type="gramEnd"/>
      <w:r>
        <w:rPr>
          <w:rFonts w:hint="eastAsia"/>
        </w:rPr>
        <w:t>立約而發出的公義要求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創十八</w:t>
      </w:r>
      <w:r>
        <w:rPr>
          <w:rFonts w:hint="eastAsia"/>
        </w:rPr>
        <w:t>25</w:t>
      </w:r>
      <w:r>
        <w:rPr>
          <w:rFonts w:hint="eastAsia"/>
        </w:rPr>
        <w:t>，三十</w:t>
      </w:r>
      <w:r>
        <w:rPr>
          <w:rFonts w:hint="eastAsia"/>
        </w:rPr>
        <w:t>33</w:t>
      </w:r>
      <w:r>
        <w:rPr>
          <w:rFonts w:hint="eastAsia"/>
        </w:rPr>
        <w:t>；出九</w:t>
      </w:r>
      <w:proofErr w:type="gramStart"/>
      <w:r>
        <w:rPr>
          <w:rFonts w:hint="eastAsia"/>
        </w:rPr>
        <w:t>27</w:t>
      </w:r>
      <w:proofErr w:type="gramEnd"/>
      <w:r>
        <w:rPr>
          <w:rFonts w:hint="eastAsia"/>
        </w:rPr>
        <w:t>；利十九</w:t>
      </w:r>
      <w:r>
        <w:rPr>
          <w:rFonts w:hint="eastAsia"/>
        </w:rPr>
        <w:t>15</w:t>
      </w:r>
      <w:r>
        <w:rPr>
          <w:rFonts w:hint="eastAsia"/>
        </w:rPr>
        <w:t>；申十六</w:t>
      </w:r>
      <w:r>
        <w:rPr>
          <w:rFonts w:hint="eastAsia"/>
        </w:rPr>
        <w:t>18</w:t>
      </w:r>
      <w:r>
        <w:rPr>
          <w:rFonts w:hint="eastAsia"/>
        </w:rPr>
        <w:t>，三十二</w:t>
      </w:r>
      <w:r>
        <w:rPr>
          <w:rFonts w:hint="eastAsia"/>
        </w:rPr>
        <w:t>4</w:t>
      </w:r>
      <w:r>
        <w:rPr>
          <w:rFonts w:hint="eastAsia"/>
        </w:rPr>
        <w:t>；撒上二十六</w:t>
      </w:r>
      <w:r>
        <w:rPr>
          <w:rFonts w:hint="eastAsia"/>
        </w:rPr>
        <w:t>23</w:t>
      </w:r>
      <w:r>
        <w:rPr>
          <w:rFonts w:hint="eastAsia"/>
        </w:rPr>
        <w:t>；王上三</w:t>
      </w:r>
      <w:r>
        <w:rPr>
          <w:rFonts w:hint="eastAsia"/>
        </w:rPr>
        <w:t>6</w:t>
      </w:r>
      <w:r>
        <w:rPr>
          <w:rFonts w:hint="eastAsia"/>
        </w:rPr>
        <w:t>；拉九</w:t>
      </w:r>
      <w:proofErr w:type="gramStart"/>
      <w:r>
        <w:rPr>
          <w:rFonts w:hint="eastAsia"/>
        </w:rPr>
        <w:t>15</w:t>
      </w:r>
      <w:proofErr w:type="gramEnd"/>
      <w:r>
        <w:rPr>
          <w:rFonts w:hint="eastAsia"/>
        </w:rPr>
        <w:t>；尼九</w:t>
      </w:r>
      <w:proofErr w:type="gramStart"/>
      <w:r>
        <w:rPr>
          <w:rFonts w:hint="eastAsia"/>
        </w:rPr>
        <w:t>8</w:t>
      </w:r>
      <w:proofErr w:type="gramEnd"/>
      <w:r>
        <w:rPr>
          <w:rFonts w:hint="eastAsia"/>
        </w:rPr>
        <w:t>；詩五</w:t>
      </w:r>
      <w:proofErr w:type="gramStart"/>
      <w:r>
        <w:rPr>
          <w:rFonts w:hint="eastAsia"/>
        </w:rPr>
        <w:t>8</w:t>
      </w:r>
      <w:proofErr w:type="gramEnd"/>
      <w:r>
        <w:rPr>
          <w:rFonts w:hint="eastAsia"/>
        </w:rPr>
        <w:t>，十一</w:t>
      </w:r>
      <w:r>
        <w:rPr>
          <w:rFonts w:hint="eastAsia"/>
        </w:rPr>
        <w:t>7</w:t>
      </w:r>
      <w:r>
        <w:rPr>
          <w:rFonts w:hint="eastAsia"/>
        </w:rPr>
        <w:t>，四十五</w:t>
      </w:r>
      <w:r>
        <w:rPr>
          <w:rFonts w:hint="eastAsia"/>
        </w:rPr>
        <w:t>7</w:t>
      </w:r>
      <w:r>
        <w:rPr>
          <w:rFonts w:hint="eastAsia"/>
        </w:rPr>
        <w:t>，七十二</w:t>
      </w:r>
      <w:r>
        <w:rPr>
          <w:rFonts w:hint="eastAsia"/>
        </w:rPr>
        <w:t>2</w:t>
      </w:r>
      <w:r>
        <w:rPr>
          <w:rFonts w:hint="eastAsia"/>
        </w:rPr>
        <w:t>；耶五</w:t>
      </w:r>
      <w:proofErr w:type="gramStart"/>
      <w:r>
        <w:rPr>
          <w:rFonts w:hint="eastAsia"/>
        </w:rPr>
        <w:t>1</w:t>
      </w:r>
      <w:proofErr w:type="gramEnd"/>
      <w:r>
        <w:rPr>
          <w:rFonts w:hint="eastAsia"/>
        </w:rPr>
        <w:t>，九</w:t>
      </w:r>
      <w:proofErr w:type="gramStart"/>
      <w:r>
        <w:rPr>
          <w:rFonts w:hint="eastAsia"/>
        </w:rPr>
        <w:t>24</w:t>
      </w:r>
      <w:proofErr w:type="gramEnd"/>
      <w:r>
        <w:rPr>
          <w:rFonts w:hint="eastAsia"/>
        </w:rPr>
        <w:t>；彌六</w:t>
      </w:r>
      <w:proofErr w:type="gramStart"/>
      <w:r>
        <w:rPr>
          <w:rFonts w:hint="eastAsia"/>
        </w:rPr>
        <w:t>8</w:t>
      </w:r>
      <w:proofErr w:type="gramEnd"/>
      <w:r>
        <w:rPr>
          <w:rFonts w:hint="eastAsia"/>
        </w:rPr>
        <w:t>；太二十二</w:t>
      </w:r>
      <w:r>
        <w:rPr>
          <w:rFonts w:hint="eastAsia"/>
        </w:rPr>
        <w:t>23</w:t>
      </w:r>
      <w:r>
        <w:rPr>
          <w:rFonts w:hint="eastAsia"/>
        </w:rPr>
        <w:t>；路十一</w:t>
      </w:r>
      <w:r>
        <w:rPr>
          <w:rFonts w:hint="eastAsia"/>
        </w:rPr>
        <w:t>42</w:t>
      </w:r>
      <w:r>
        <w:rPr>
          <w:rFonts w:hint="eastAsia"/>
        </w:rPr>
        <w:t>；徒十七</w:t>
      </w:r>
      <w:r>
        <w:rPr>
          <w:rFonts w:hint="eastAsia"/>
        </w:rPr>
        <w:t>31</w:t>
      </w:r>
      <w:r>
        <w:rPr>
          <w:rFonts w:hint="eastAsia"/>
        </w:rPr>
        <w:t>；羅七</w:t>
      </w:r>
      <w:proofErr w:type="gramStart"/>
      <w:r>
        <w:rPr>
          <w:rFonts w:hint="eastAsia"/>
        </w:rPr>
        <w:t>12</w:t>
      </w:r>
      <w:proofErr w:type="gramEnd"/>
      <w:r>
        <w:rPr>
          <w:rFonts w:hint="eastAsia"/>
        </w:rPr>
        <w:t>；</w:t>
      </w:r>
      <w:proofErr w:type="gramStart"/>
      <w:r>
        <w:rPr>
          <w:rFonts w:hint="eastAsia"/>
        </w:rPr>
        <w:t>帖</w:t>
      </w:r>
      <w:proofErr w:type="gramEnd"/>
      <w:r>
        <w:rPr>
          <w:rFonts w:hint="eastAsia"/>
        </w:rPr>
        <w:t>後一</w:t>
      </w:r>
      <w:r>
        <w:rPr>
          <w:rFonts w:hint="eastAsia"/>
        </w:rPr>
        <w:t>6</w:t>
      </w:r>
      <w:r>
        <w:rPr>
          <w:rFonts w:hint="eastAsia"/>
        </w:rPr>
        <w:t>；來一</w:t>
      </w:r>
      <w:proofErr w:type="gramStart"/>
      <w:r>
        <w:rPr>
          <w:rFonts w:hint="eastAsia"/>
        </w:rPr>
        <w:t>9</w:t>
      </w:r>
      <w:proofErr w:type="gramEnd"/>
      <w:r>
        <w:rPr>
          <w:rFonts w:hint="eastAsia"/>
        </w:rPr>
        <w:t>；啟十五</w:t>
      </w:r>
      <w:r>
        <w:rPr>
          <w:rFonts w:hint="eastAsia"/>
        </w:rPr>
        <w:t>3</w:t>
      </w:r>
      <w:r>
        <w:rPr>
          <w:rFonts w:hint="eastAsia"/>
        </w:rPr>
        <w:t>，十九</w:t>
      </w:r>
      <w:r>
        <w:rPr>
          <w:rFonts w:hint="eastAsia"/>
        </w:rPr>
        <w:t>11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。這些經文都有一個共同焦點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人要按著神的救贖模式來對待別人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這是更正教道德神學（</w:t>
      </w:r>
      <w:r>
        <w:rPr>
          <w:rFonts w:hint="eastAsia"/>
        </w:rPr>
        <w:t xml:space="preserve">Moral </w:t>
      </w:r>
      <w:r>
        <w:rPr>
          <w:rFonts w:hint="eastAsia"/>
        </w:rPr>
        <w:lastRenderedPageBreak/>
        <w:t>Theology</w:t>
      </w:r>
      <w:r>
        <w:rPr>
          <w:rFonts w:hint="eastAsia"/>
        </w:rPr>
        <w:t>）的要點。天主教的神學家則朝另一模式來發展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人的道德行為怎樣才能與神的心意符合？這是阿奎那道德神學的模式，他說自然的道德律必須能反映神永恆的律法。更正教</w:t>
      </w:r>
      <w:proofErr w:type="gramStart"/>
      <w:r>
        <w:rPr>
          <w:rFonts w:hint="eastAsia"/>
        </w:rPr>
        <w:t>尋求人公義</w:t>
      </w:r>
      <w:proofErr w:type="gramEnd"/>
      <w:r>
        <w:rPr>
          <w:rFonts w:hint="eastAsia"/>
        </w:rPr>
        <w:t>的行為能反映神的公義救贖；而天主教則要求人能洞察及回應神</w:t>
      </w:r>
      <w:proofErr w:type="gramStart"/>
      <w:r>
        <w:rPr>
          <w:rFonts w:hint="eastAsia"/>
        </w:rPr>
        <w:t>在物界和靈界</w:t>
      </w:r>
      <w:proofErr w:type="gramEnd"/>
      <w:r>
        <w:rPr>
          <w:rFonts w:hint="eastAsia"/>
        </w:rPr>
        <w:t>的公義秩序。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2.</w:t>
      </w:r>
      <w:r>
        <w:rPr>
          <w:rFonts w:hint="eastAsia"/>
        </w:rPr>
        <w:t>公平與公義是傳統的重要美德，與人的謹慎、節制和剛毅有關，叫人能甘心樂意把人該得的歸給人，這能促進群體安和樂利的關係。但要公義落實，明顯地不能倚靠人自發的、自然的性情，特別在基督教所了解的人性</w:t>
      </w:r>
      <w:proofErr w:type="gramStart"/>
      <w:r>
        <w:rPr>
          <w:rFonts w:hint="eastAsia"/>
        </w:rPr>
        <w:t>和罪性</w:t>
      </w:r>
      <w:proofErr w:type="gramEnd"/>
      <w:r>
        <w:rPr>
          <w:rFonts w:hint="eastAsia"/>
        </w:rPr>
        <w:t>下是不可能的；因此公義要求洞察什麼最</w:t>
      </w:r>
      <w:proofErr w:type="gramStart"/>
      <w:r>
        <w:rPr>
          <w:rFonts w:hint="eastAsia"/>
        </w:rPr>
        <w:t>能叫公義</w:t>
      </w:r>
      <w:proofErr w:type="gramEnd"/>
      <w:r>
        <w:rPr>
          <w:rFonts w:hint="eastAsia"/>
        </w:rPr>
        <w:t>得伸（故謹慎），控制私慾，以致能一心追求至善（故節制），和就算會違反私利，亦義無反顧（故剛毅）。基督教倫理神學家認為，能助長公義發展的，是神的愛和由此激發的善行。人一方面要因神的愛與救贖，常有虧欠神的心；另一方面亦要知道，他的鄰舍也是神所愛的。這些都叫人能越過一己之私心，</w:t>
      </w:r>
      <w:proofErr w:type="gramStart"/>
      <w:r>
        <w:rPr>
          <w:rFonts w:hint="eastAsia"/>
        </w:rPr>
        <w:t>而關顧別人</w:t>
      </w:r>
      <w:proofErr w:type="gramEnd"/>
      <w:r>
        <w:rPr>
          <w:rFonts w:hint="eastAsia"/>
        </w:rPr>
        <w:t>應得之權益。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3.</w:t>
      </w:r>
      <w:r>
        <w:rPr>
          <w:rFonts w:hint="eastAsia"/>
        </w:rPr>
        <w:t>近代在這方面的討論，多關心愛與公義的關係；它們自然有相衝突的時候，但更常見的，是能互助及互相補充的情況。舉例，我們與鄰舍的關係可以是愛及犧牲，當這關係涉及第三者，公平與公義的原則就大派用場。但公義的關係常會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人的有限（不知全部實現）</w:t>
      </w:r>
      <w:proofErr w:type="gramStart"/>
      <w:r>
        <w:rPr>
          <w:rFonts w:hint="eastAsia"/>
        </w:rPr>
        <w:t>和罪性</w:t>
      </w:r>
      <w:proofErr w:type="gramEnd"/>
      <w:r>
        <w:rPr>
          <w:rFonts w:hint="eastAsia"/>
        </w:rPr>
        <w:t>（私慾）而受到破壞，強勢一方就會容易做出剝削弱勢一方的行徑。要恢復和諧和</w:t>
      </w:r>
      <w:proofErr w:type="gramStart"/>
      <w:r>
        <w:rPr>
          <w:rFonts w:hint="eastAsia"/>
        </w:rPr>
        <w:t>可</w:t>
      </w:r>
      <w:proofErr w:type="gramEnd"/>
      <w:r>
        <w:rPr>
          <w:rFonts w:hint="eastAsia"/>
        </w:rPr>
        <w:t>容忍的關係，單純依靠</w:t>
      </w:r>
      <w:proofErr w:type="gramStart"/>
      <w:r>
        <w:rPr>
          <w:rFonts w:hint="eastAsia"/>
        </w:rPr>
        <w:t>對愛全不</w:t>
      </w:r>
      <w:proofErr w:type="gramEnd"/>
      <w:r>
        <w:rPr>
          <w:rFonts w:hint="eastAsia"/>
        </w:rPr>
        <w:t>感興趣的法律，有時是於事無補的；基督教所言之愛與公義的原則，仍然是解決人際糾紛的有效方法。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此原則考慮的有關方面包括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1.</w:t>
      </w:r>
      <w:r>
        <w:rPr>
          <w:rFonts w:hint="eastAsia"/>
        </w:rPr>
        <w:t>平等權益；</w:t>
      </w:r>
      <w:r>
        <w:rPr>
          <w:rFonts w:hint="eastAsia"/>
        </w:rPr>
        <w:t>2.</w:t>
      </w:r>
      <w:r>
        <w:rPr>
          <w:rFonts w:hint="eastAsia"/>
        </w:rPr>
        <w:t>個人自由；</w:t>
      </w:r>
      <w:r>
        <w:rPr>
          <w:rFonts w:hint="eastAsia"/>
        </w:rPr>
        <w:t>3.</w:t>
      </w:r>
      <w:r>
        <w:rPr>
          <w:rFonts w:hint="eastAsia"/>
        </w:rPr>
        <w:t>按需要而分配利益；</w:t>
      </w:r>
      <w:r>
        <w:rPr>
          <w:rFonts w:hint="eastAsia"/>
        </w:rPr>
        <w:t>4.</w:t>
      </w:r>
      <w:r>
        <w:rPr>
          <w:rFonts w:hint="eastAsia"/>
        </w:rPr>
        <w:t>從道德立場來評估指導行為的原則等。其後果有時比單靠法律的裁決更具人性，也更容易重建一個遭破壞的關係。一個和諧共存的群體關係，肯定比一個單純以法律裁定為合理的關係，更有利於群體的生活。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這樣說來，基督教把愛和公義放在一起看這問題，是比僅以法律維持的公義關係更勝一籌了。一個常見的例子是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大企業內的勞資糾紛，資方可以花很多錢聘請律師來興</w:t>
      </w:r>
      <w:proofErr w:type="gramStart"/>
      <w:r>
        <w:rPr>
          <w:rFonts w:hint="eastAsia"/>
        </w:rPr>
        <w:t>訟</w:t>
      </w:r>
      <w:proofErr w:type="gramEnd"/>
      <w:r>
        <w:rPr>
          <w:rFonts w:hint="eastAsia"/>
        </w:rPr>
        <w:t>，這樣得來的勝訴，在法律上他是公義的，但在人際關係上就完全失敗了。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另參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基督徒的自由（</w:t>
      </w:r>
      <w:r>
        <w:rPr>
          <w:rFonts w:hint="eastAsia"/>
        </w:rPr>
        <w:t>Freedom, Christian</w:t>
      </w:r>
      <w:r>
        <w:rPr>
          <w:rFonts w:hint="eastAsia"/>
        </w:rPr>
        <w:t>）；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ab/>
      </w:r>
      <w:r>
        <w:rPr>
          <w:rFonts w:hint="eastAsia"/>
        </w:rPr>
        <w:t>愛（</w:t>
      </w:r>
      <w:r>
        <w:rPr>
          <w:rFonts w:hint="eastAsia"/>
        </w:rPr>
        <w:t>Love</w:t>
      </w:r>
      <w:r>
        <w:rPr>
          <w:rFonts w:hint="eastAsia"/>
        </w:rPr>
        <w:t>）。</w:t>
      </w:r>
    </w:p>
    <w:p w:rsidR="00C90569" w:rsidRDefault="00C90569" w:rsidP="00C90569">
      <w:pPr>
        <w:rPr>
          <w:rFonts w:hint="eastAsia"/>
        </w:rPr>
      </w:pP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>參考書目</w:t>
      </w:r>
    </w:p>
    <w:p w:rsidR="00C90569" w:rsidRDefault="00C90569" w:rsidP="00C90569">
      <w:r>
        <w:rPr>
          <w:rFonts w:hint="eastAsia"/>
        </w:rPr>
        <w:t xml:space="preserve">　　</w:t>
      </w:r>
      <w:r>
        <w:rPr>
          <w:rFonts w:hint="eastAsia"/>
        </w:rPr>
        <w:t xml:space="preserve">R. </w:t>
      </w:r>
      <w:proofErr w:type="spellStart"/>
      <w:r>
        <w:rPr>
          <w:rFonts w:hint="eastAsia"/>
        </w:rPr>
        <w:t>Bultmann</w:t>
      </w:r>
      <w:proofErr w:type="spellEnd"/>
      <w:r>
        <w:rPr>
          <w:rFonts w:hint="eastAsia"/>
        </w:rPr>
        <w:t xml:space="preserve">, 'To Love Your </w:t>
      </w:r>
      <w:proofErr w:type="spellStart"/>
      <w:r>
        <w:rPr>
          <w:rFonts w:hint="eastAsia"/>
        </w:rPr>
        <w:t>Neighbour</w:t>
      </w:r>
      <w:proofErr w:type="spellEnd"/>
      <w:r>
        <w:rPr>
          <w:rFonts w:hint="eastAsia"/>
        </w:rPr>
        <w:t>', Scottish Periodical I(1947), pp. 41</w:t>
      </w:r>
      <w:r>
        <w:rPr>
          <w:rFonts w:hint="eastAsia"/>
        </w:rPr>
        <w:t>～</w:t>
      </w:r>
      <w:r>
        <w:rPr>
          <w:rFonts w:hint="eastAsia"/>
        </w:rPr>
        <w:t xml:space="preserve">56; J. D. M. </w:t>
      </w:r>
      <w:proofErr w:type="spellStart"/>
      <w:r>
        <w:rPr>
          <w:rFonts w:hint="eastAsia"/>
        </w:rPr>
        <w:t>Derrett</w:t>
      </w:r>
      <w:proofErr w:type="spellEnd"/>
      <w:r>
        <w:rPr>
          <w:rFonts w:hint="eastAsia"/>
        </w:rPr>
        <w:t>, 'The Parable of the Good Samaritan', in Law in the New Testament(1970), pp. 208</w:t>
      </w:r>
      <w:r>
        <w:rPr>
          <w:rFonts w:hint="eastAsia"/>
        </w:rPr>
        <w:t>～</w:t>
      </w:r>
      <w:r>
        <w:rPr>
          <w:rFonts w:hint="eastAsia"/>
        </w:rPr>
        <w:t xml:space="preserve">27; J. C. </w:t>
      </w:r>
      <w:proofErr w:type="spellStart"/>
      <w:r>
        <w:rPr>
          <w:rFonts w:hint="eastAsia"/>
        </w:rPr>
        <w:t>Haughey</w:t>
      </w:r>
      <w:proofErr w:type="spellEnd"/>
      <w:r>
        <w:rPr>
          <w:rFonts w:hint="eastAsia"/>
        </w:rPr>
        <w:t>(ed.), The Faith That Does Justice(1977); J. R. Lucas, On Ju</w:t>
      </w:r>
      <w:r>
        <w:t xml:space="preserve">stice(1980); G. </w:t>
      </w:r>
      <w:proofErr w:type="spellStart"/>
      <w:r>
        <w:t>Qutka</w:t>
      </w:r>
      <w:proofErr w:type="spellEnd"/>
      <w:r>
        <w:t xml:space="preserve">, Agape: An Ethical Analysis(1972); P. Ramsey, Basic Christian Ethics(1950); J. </w:t>
      </w:r>
      <w:proofErr w:type="spellStart"/>
      <w:r>
        <w:t>Sterba</w:t>
      </w:r>
      <w:proofErr w:type="spellEnd"/>
      <w:r>
        <w:t>(ed.), Justice : Alternative Political Perspectives(1980).</w:t>
      </w:r>
    </w:p>
    <w:p w:rsidR="00C90569" w:rsidRDefault="00C90569" w:rsidP="00C90569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楊牧谷</w:t>
      </w:r>
      <w:proofErr w:type="gramEnd"/>
    </w:p>
    <w:sectPr w:rsidR="00C90569" w:rsidSect="00165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0569"/>
    <w:rsid w:val="0016515E"/>
    <w:rsid w:val="00382EC8"/>
    <w:rsid w:val="00C90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Tsoi</dc:creator>
  <cp:lastModifiedBy>Tsoi</cp:lastModifiedBy>
  <cp:revision>1</cp:revision>
  <dcterms:created xsi:type="dcterms:W3CDTF">2018-12-06T09:31:00Z</dcterms:created>
  <dcterms:modified xsi:type="dcterms:W3CDTF">2018-12-06T09:32:00Z</dcterms:modified>
</cp:coreProperties>
</file>